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退役军人事务局202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年度信息公开</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工作报告</w:t>
      </w:r>
    </w:p>
    <w:p>
      <w:pPr>
        <w:jc w:val="center"/>
        <w:rPr>
          <w:rFonts w:ascii="方正小标宋简体" w:hAnsi="方正小标宋简体" w:eastAsia="方正小标宋简体" w:cs="方正小标宋简体"/>
          <w:sz w:val="32"/>
          <w:szCs w:val="32"/>
        </w:rPr>
      </w:pPr>
    </w:p>
    <w:p>
      <w:pPr>
        <w:jc w:val="left"/>
        <w:rPr>
          <w:rFonts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在20</w:t>
      </w:r>
      <w:r>
        <w:rPr>
          <w:rFonts w:hint="eastAsia" w:ascii="仿宋" w:hAnsi="仿宋" w:eastAsia="仿宋" w:cs="仿宋"/>
          <w:sz w:val="32"/>
          <w:szCs w:val="32"/>
          <w:lang w:val="en-US" w:eastAsia="zh-CN"/>
        </w:rPr>
        <w:t>23</w:t>
      </w:r>
      <w:r>
        <w:rPr>
          <w:rFonts w:hint="eastAsia" w:ascii="仿宋" w:hAnsi="仿宋" w:eastAsia="仿宋" w:cs="仿宋"/>
          <w:sz w:val="32"/>
          <w:szCs w:val="32"/>
        </w:rPr>
        <w:t>年度，我局认真贯彻国家和省、市、</w:t>
      </w:r>
      <w:r>
        <w:rPr>
          <w:rFonts w:hint="eastAsia" w:ascii="仿宋" w:hAnsi="仿宋" w:eastAsia="仿宋" w:cs="仿宋"/>
          <w:sz w:val="32"/>
          <w:szCs w:val="32"/>
          <w:lang w:eastAsia="zh-CN"/>
        </w:rPr>
        <w:t>区</w:t>
      </w:r>
      <w:r>
        <w:rPr>
          <w:rFonts w:hint="eastAsia" w:ascii="仿宋" w:hAnsi="仿宋" w:eastAsia="仿宋" w:cs="仿宋"/>
          <w:sz w:val="32"/>
          <w:szCs w:val="32"/>
        </w:rPr>
        <w:t>关于政务公开和政府信息公开的有关要求，坚持依法行政，深化信息公开，不断增强工作透明度，保障了人民群众的知情权、参与权和监督权。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领导，统筹安排部署各项工作。我局进一步完善了政务公开各项制度，确保政府信息公开工作持续良好开展。坚持考核评估，强化监督，健全完善监督机制，使我局政务信息公开工作进一步规范化、制度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、注重时效，及时更新。将信息公开的内容通过高新区门户网站及时公布，注重公开的时效性，及时更新完善政务公开内容，增强依法行政工作的透明度，使信息公开途径更快捷、透明度更高、渗透面更广。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突出重点工作公开。我局按照“依法公开、真实公正、突出重点、注重实效、有利监督”的原则</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区</w:t>
      </w:r>
      <w:r>
        <w:rPr>
          <w:rFonts w:hint="eastAsia" w:ascii="仿宋" w:hAnsi="仿宋" w:eastAsia="仿宋" w:cs="仿宋"/>
          <w:sz w:val="32"/>
          <w:szCs w:val="32"/>
        </w:rPr>
        <w:t>政府门户网站政府信息发布专栏公开本单位退役军人事务局重点工作</w:t>
      </w:r>
      <w:r>
        <w:rPr>
          <w:rFonts w:hint="eastAsia" w:ascii="仿宋" w:hAnsi="仿宋" w:eastAsia="仿宋" w:cs="仿宋"/>
          <w:sz w:val="32"/>
          <w:szCs w:val="32"/>
          <w:lang w:val="en-US" w:eastAsia="zh-CN"/>
        </w:rPr>
        <w:t>8</w:t>
      </w:r>
      <w:r>
        <w:rPr>
          <w:rFonts w:hint="eastAsia" w:ascii="仿宋" w:hAnsi="仿宋" w:eastAsia="仿宋" w:cs="仿宋"/>
          <w:sz w:val="32"/>
          <w:szCs w:val="32"/>
        </w:rPr>
        <w:t>条。为退</w:t>
      </w:r>
      <w:bookmarkStart w:id="0" w:name="_GoBack"/>
      <w:bookmarkEnd w:id="0"/>
      <w:r>
        <w:rPr>
          <w:rFonts w:hint="eastAsia" w:ascii="仿宋" w:hAnsi="仿宋" w:eastAsia="仿宋" w:cs="仿宋"/>
          <w:sz w:val="32"/>
          <w:szCs w:val="32"/>
        </w:rPr>
        <w:t>役军人等服务对象就近获取政府信息提供便利。</w:t>
      </w:r>
    </w:p>
    <w:p>
      <w:pPr>
        <w:jc w:val="left"/>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8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600"/>
        <w:gridCol w:w="1935"/>
        <w:gridCol w:w="1724"/>
        <w:gridCol w:w="18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jc w:val="center"/>
        </w:trPr>
        <w:tc>
          <w:tcPr>
            <w:tcW w:w="8140" w:type="dxa"/>
            <w:gridSpan w:val="4"/>
            <w:tcBorders>
              <w:tl2br w:val="nil"/>
              <w:tr2bl w:val="nil"/>
            </w:tcBorders>
            <w:shd w:val="clear" w:color="auto" w:fill="C6D9F1"/>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2" w:hRule="atLeast"/>
          <w:jc w:val="center"/>
        </w:trPr>
        <w:tc>
          <w:tcPr>
            <w:tcW w:w="2600" w:type="dxa"/>
            <w:tcBorders>
              <w:tl2br w:val="nil"/>
              <w:tr2bl w:val="nil"/>
            </w:tcBorders>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信息内容</w:t>
            </w:r>
          </w:p>
        </w:tc>
        <w:tc>
          <w:tcPr>
            <w:tcW w:w="1935" w:type="dxa"/>
            <w:tcBorders>
              <w:tl2br w:val="nil"/>
              <w:tr2bl w:val="nil"/>
            </w:tcBorders>
            <w:noWrap/>
            <w:tcMar>
              <w:left w:w="108" w:type="dxa"/>
              <w:right w:w="108" w:type="dxa"/>
            </w:tcMar>
            <w:vAlign w:val="center"/>
          </w:tcPr>
          <w:p>
            <w:pPr>
              <w:widowControl/>
              <w:spacing w:after="180"/>
              <w:jc w:val="center"/>
              <w:rPr>
                <w:rFonts w:hint="eastAsia" w:eastAsia="宋体"/>
                <w:lang w:eastAsia="zh-CN"/>
              </w:rPr>
            </w:pPr>
            <w:r>
              <w:rPr>
                <w:rFonts w:hint="eastAsia" w:ascii="宋体" w:hAnsi="宋体" w:cs="宋体"/>
                <w:color w:val="000000"/>
                <w:kern w:val="0"/>
                <w:sz w:val="20"/>
                <w:szCs w:val="20"/>
                <w:lang w:bidi="ar"/>
              </w:rPr>
              <w:t>本年</w:t>
            </w:r>
            <w:r>
              <w:rPr>
                <w:rFonts w:hint="eastAsia" w:ascii="宋体" w:hAnsi="宋体" w:cs="宋体"/>
                <w:color w:val="000000"/>
                <w:kern w:val="0"/>
                <w:sz w:val="20"/>
                <w:szCs w:val="20"/>
                <w:lang w:eastAsia="zh-CN" w:bidi="ar"/>
              </w:rPr>
              <w:t>制发件数</w:t>
            </w:r>
          </w:p>
        </w:tc>
        <w:tc>
          <w:tcPr>
            <w:tcW w:w="1724" w:type="dxa"/>
            <w:tcBorders>
              <w:tl2br w:val="nil"/>
              <w:tr2bl w:val="nil"/>
            </w:tcBorders>
            <w:noWrap w:val="0"/>
            <w:tcMar>
              <w:left w:w="108" w:type="dxa"/>
              <w:right w:w="108" w:type="dxa"/>
            </w:tcMar>
            <w:vAlign w:val="center"/>
          </w:tcPr>
          <w:p>
            <w:pPr>
              <w:widowControl/>
              <w:spacing w:after="180"/>
              <w:jc w:val="center"/>
              <w:rPr>
                <w:rFonts w:hint="eastAsia" w:eastAsia="宋体"/>
                <w:lang w:eastAsia="zh-CN"/>
              </w:rPr>
            </w:pPr>
            <w:r>
              <w:rPr>
                <w:rFonts w:hint="eastAsia" w:ascii="宋体" w:hAnsi="宋体" w:cs="宋体"/>
                <w:color w:val="000000"/>
                <w:kern w:val="0"/>
                <w:sz w:val="20"/>
                <w:szCs w:val="20"/>
                <w:lang w:bidi="ar"/>
              </w:rPr>
              <w:t>本年</w:t>
            </w:r>
            <w:r>
              <w:rPr>
                <w:rFonts w:hint="eastAsia" w:ascii="宋体" w:hAnsi="宋体" w:cs="宋体"/>
                <w:color w:val="000000"/>
                <w:kern w:val="0"/>
                <w:sz w:val="20"/>
                <w:szCs w:val="20"/>
                <w:lang w:eastAsia="zh-CN" w:bidi="ar"/>
              </w:rPr>
              <w:t>废止件数</w:t>
            </w:r>
          </w:p>
        </w:tc>
        <w:tc>
          <w:tcPr>
            <w:tcW w:w="1881" w:type="dxa"/>
            <w:tcBorders>
              <w:tl2br w:val="nil"/>
              <w:tr2bl w:val="nil"/>
            </w:tcBorders>
            <w:noWrap/>
            <w:tcMar>
              <w:left w:w="108" w:type="dxa"/>
              <w:right w:w="108" w:type="dxa"/>
            </w:tcMar>
            <w:vAlign w:val="center"/>
          </w:tcPr>
          <w:p>
            <w:pPr>
              <w:widowControl/>
              <w:spacing w:after="180"/>
              <w:jc w:val="center"/>
              <w:rPr>
                <w:rFonts w:hint="eastAsia" w:eastAsia="宋体"/>
                <w:lang w:eastAsia="zh-CN"/>
              </w:rPr>
            </w:pPr>
            <w:r>
              <w:rPr>
                <w:rFonts w:hint="eastAsia" w:ascii="宋体" w:hAnsi="宋体" w:cs="宋体"/>
                <w:color w:val="000000"/>
                <w:kern w:val="0"/>
                <w:sz w:val="20"/>
                <w:szCs w:val="20"/>
                <w:lang w:eastAsia="zh-CN" w:bidi="ar"/>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2600" w:type="dxa"/>
            <w:tcBorders>
              <w:tl2br w:val="nil"/>
              <w:tr2bl w:val="nil"/>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规章</w:t>
            </w:r>
          </w:p>
        </w:tc>
        <w:tc>
          <w:tcPr>
            <w:tcW w:w="1935" w:type="dxa"/>
            <w:tcBorders>
              <w:tl2br w:val="nil"/>
              <w:tr2bl w:val="nil"/>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lang w:val="en-US" w:eastAsia="zh-CN"/>
              </w:rPr>
              <w:t>0</w:t>
            </w:r>
          </w:p>
        </w:tc>
        <w:tc>
          <w:tcPr>
            <w:tcW w:w="1724" w:type="dxa"/>
            <w:tcBorders>
              <w:tl2br w:val="nil"/>
              <w:tr2bl w:val="nil"/>
            </w:tcBorders>
            <w:noWrap w:val="0"/>
            <w:tcMar>
              <w:left w:w="108" w:type="dxa"/>
              <w:right w:w="108" w:type="dxa"/>
            </w:tcMar>
            <w:vAlign w:val="center"/>
          </w:tcPr>
          <w:p>
            <w:pPr>
              <w:widowControl/>
              <w:spacing w:after="180"/>
              <w:jc w:val="left"/>
            </w:pPr>
          </w:p>
        </w:tc>
        <w:tc>
          <w:tcPr>
            <w:tcW w:w="1881" w:type="dxa"/>
            <w:tcBorders>
              <w:tl2br w:val="nil"/>
              <w:tr2bl w:val="nil"/>
            </w:tcBorders>
            <w:noWrap/>
            <w:tcMar>
              <w:left w:w="108" w:type="dxa"/>
              <w:right w:w="108" w:type="dxa"/>
            </w:tcMar>
            <w:vAlign w:val="center"/>
          </w:tcPr>
          <w:p>
            <w:pPr>
              <w:widowControl/>
              <w:spacing w:after="180"/>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jc w:val="center"/>
        </w:trPr>
        <w:tc>
          <w:tcPr>
            <w:tcW w:w="2600" w:type="dxa"/>
            <w:tcBorders>
              <w:tl2br w:val="nil"/>
              <w:tr2bl w:val="nil"/>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eastAsia="zh-CN" w:bidi="ar"/>
              </w:rPr>
              <w:t>行政</w:t>
            </w:r>
            <w:r>
              <w:rPr>
                <w:rFonts w:hint="eastAsia" w:ascii="宋体" w:hAnsi="宋体" w:cs="宋体"/>
                <w:color w:val="000000"/>
                <w:kern w:val="0"/>
                <w:sz w:val="20"/>
                <w:szCs w:val="20"/>
                <w:lang w:bidi="ar"/>
              </w:rPr>
              <w:t>规范性文件</w:t>
            </w:r>
          </w:p>
        </w:tc>
        <w:tc>
          <w:tcPr>
            <w:tcW w:w="1935" w:type="dxa"/>
            <w:tcBorders>
              <w:tl2br w:val="nil"/>
              <w:tr2bl w:val="nil"/>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lang w:val="en-US" w:eastAsia="zh-CN"/>
              </w:rPr>
              <w:t>0</w:t>
            </w:r>
          </w:p>
        </w:tc>
        <w:tc>
          <w:tcPr>
            <w:tcW w:w="1724" w:type="dxa"/>
            <w:tcBorders>
              <w:tl2br w:val="nil"/>
              <w:tr2bl w:val="nil"/>
            </w:tcBorders>
            <w:noWrap w:val="0"/>
            <w:tcMar>
              <w:left w:w="108" w:type="dxa"/>
              <w:right w:w="108" w:type="dxa"/>
            </w:tcMar>
            <w:vAlign w:val="center"/>
          </w:tcPr>
          <w:p>
            <w:pPr>
              <w:widowControl/>
              <w:spacing w:after="180"/>
              <w:jc w:val="left"/>
            </w:pPr>
          </w:p>
        </w:tc>
        <w:tc>
          <w:tcPr>
            <w:tcW w:w="1881" w:type="dxa"/>
            <w:tcBorders>
              <w:tl2br w:val="nil"/>
              <w:tr2bl w:val="nil"/>
            </w:tcBorders>
            <w:noWrap/>
            <w:tcMar>
              <w:left w:w="108" w:type="dxa"/>
              <w:right w:w="108" w:type="dxa"/>
            </w:tcMar>
            <w:vAlign w:val="center"/>
          </w:tcPr>
          <w:p>
            <w:pPr>
              <w:widowControl/>
              <w:spacing w:after="180"/>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8140" w:type="dxa"/>
            <w:gridSpan w:val="4"/>
            <w:tcBorders>
              <w:tl2br w:val="nil"/>
              <w:tr2bl w:val="nil"/>
            </w:tcBorders>
            <w:shd w:val="clear" w:color="auto" w:fill="C6D9F1"/>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2600" w:type="dxa"/>
            <w:tcBorders>
              <w:tl2br w:val="nil"/>
              <w:tr2bl w:val="nil"/>
            </w:tcBorders>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信息内容</w:t>
            </w:r>
          </w:p>
        </w:tc>
        <w:tc>
          <w:tcPr>
            <w:tcW w:w="5540" w:type="dxa"/>
            <w:gridSpan w:val="3"/>
            <w:tcBorders>
              <w:tl2br w:val="nil"/>
              <w:tr2bl w:val="nil"/>
            </w:tcBorders>
            <w:noWrap/>
            <w:tcMar>
              <w:left w:w="108" w:type="dxa"/>
              <w:right w:w="108" w:type="dxa"/>
            </w:tcMar>
            <w:vAlign w:val="center"/>
          </w:tcPr>
          <w:p>
            <w:pPr>
              <w:widowControl/>
              <w:spacing w:after="180"/>
              <w:jc w:val="center"/>
              <w:rPr>
                <w:rFonts w:hint="eastAsia" w:eastAsia="宋体"/>
                <w:lang w:eastAsia="zh-CN"/>
              </w:rPr>
            </w:pPr>
            <w:r>
              <w:rPr>
                <w:rFonts w:hint="eastAsia" w:ascii="宋体" w:hAnsi="宋体" w:cs="宋体"/>
                <w:color w:val="000000"/>
                <w:kern w:val="0"/>
                <w:sz w:val="20"/>
                <w:szCs w:val="20"/>
                <w:lang w:eastAsia="zh-CN" w:bidi="ar"/>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2600" w:type="dxa"/>
            <w:tcBorders>
              <w:tl2br w:val="nil"/>
              <w:tr2bl w:val="nil"/>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行政许可</w:t>
            </w:r>
          </w:p>
        </w:tc>
        <w:tc>
          <w:tcPr>
            <w:tcW w:w="5540" w:type="dxa"/>
            <w:gridSpan w:val="3"/>
            <w:tcBorders>
              <w:tl2br w:val="nil"/>
              <w:tr2bl w:val="nil"/>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8140" w:type="dxa"/>
            <w:gridSpan w:val="4"/>
            <w:tcBorders>
              <w:tl2br w:val="nil"/>
              <w:tr2bl w:val="nil"/>
            </w:tcBorders>
            <w:shd w:val="clear" w:color="auto" w:fill="C6D9F1"/>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2600" w:type="dxa"/>
            <w:tcBorders>
              <w:tl2br w:val="nil"/>
              <w:tr2bl w:val="nil"/>
            </w:tcBorders>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信息内容</w:t>
            </w:r>
          </w:p>
        </w:tc>
        <w:tc>
          <w:tcPr>
            <w:tcW w:w="5540" w:type="dxa"/>
            <w:gridSpan w:val="3"/>
            <w:tcBorders>
              <w:tl2br w:val="nil"/>
              <w:tr2bl w:val="nil"/>
            </w:tcBorders>
            <w:noWrap/>
            <w:tcMar>
              <w:left w:w="108" w:type="dxa"/>
              <w:right w:w="108" w:type="dxa"/>
            </w:tcMar>
            <w:vAlign w:val="center"/>
          </w:tcPr>
          <w:p>
            <w:pPr>
              <w:widowControl/>
              <w:spacing w:after="180"/>
              <w:jc w:val="center"/>
            </w:pPr>
            <w:r>
              <w:rPr>
                <w:rFonts w:hint="eastAsia" w:ascii="宋体" w:hAnsi="宋体" w:cs="宋体"/>
                <w:color w:val="000000"/>
                <w:kern w:val="0"/>
                <w:sz w:val="20"/>
                <w:szCs w:val="20"/>
                <w:lang w:eastAsia="zh-CN" w:bidi="ar"/>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2600" w:type="dxa"/>
            <w:tcBorders>
              <w:tl2br w:val="nil"/>
              <w:tr2bl w:val="nil"/>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行政处罚</w:t>
            </w:r>
          </w:p>
        </w:tc>
        <w:tc>
          <w:tcPr>
            <w:tcW w:w="5540" w:type="dxa"/>
            <w:gridSpan w:val="3"/>
            <w:tcBorders>
              <w:tl2br w:val="nil"/>
              <w:tr2bl w:val="nil"/>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2600" w:type="dxa"/>
            <w:tcBorders>
              <w:tl2br w:val="nil"/>
              <w:tr2bl w:val="nil"/>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行政强制</w:t>
            </w:r>
          </w:p>
        </w:tc>
        <w:tc>
          <w:tcPr>
            <w:tcW w:w="5540" w:type="dxa"/>
            <w:gridSpan w:val="3"/>
            <w:tcBorders>
              <w:tl2br w:val="nil"/>
              <w:tr2bl w:val="nil"/>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140" w:type="dxa"/>
            <w:gridSpan w:val="4"/>
            <w:tcBorders>
              <w:tl2br w:val="nil"/>
              <w:tr2bl w:val="nil"/>
            </w:tcBorders>
            <w:shd w:val="clear" w:color="auto" w:fill="C6D9F1"/>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600" w:type="dxa"/>
            <w:tcBorders>
              <w:tl2br w:val="nil"/>
              <w:tr2bl w:val="nil"/>
            </w:tcBorders>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信息内容</w:t>
            </w:r>
          </w:p>
        </w:tc>
        <w:tc>
          <w:tcPr>
            <w:tcW w:w="5540" w:type="dxa"/>
            <w:gridSpan w:val="3"/>
            <w:tcBorders>
              <w:tl2br w:val="nil"/>
              <w:tr2bl w:val="nil"/>
            </w:tcBorders>
            <w:noWrap/>
            <w:tcMar>
              <w:left w:w="108" w:type="dxa"/>
              <w:right w:w="108" w:type="dxa"/>
            </w:tcMar>
            <w:vAlign w:val="center"/>
          </w:tcPr>
          <w:p>
            <w:pPr>
              <w:widowControl/>
              <w:spacing w:after="180"/>
              <w:jc w:val="center"/>
            </w:pPr>
            <w:r>
              <w:rPr>
                <w:rFonts w:hint="eastAsia" w:ascii="宋体" w:hAnsi="宋体" w:eastAsia="宋体" w:cs="宋体"/>
                <w:i w:val="0"/>
                <w:iCs w:val="0"/>
                <w:caps w:val="0"/>
                <w:color w:val="000000"/>
                <w:spacing w:val="0"/>
                <w:sz w:val="20"/>
                <w:szCs w:val="20"/>
                <w:shd w:val="clear" w:color="auto" w:fill="FFFFFF"/>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2600" w:type="dxa"/>
            <w:tcBorders>
              <w:tl2br w:val="nil"/>
              <w:tr2bl w:val="nil"/>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行政事业性收费</w:t>
            </w:r>
          </w:p>
        </w:tc>
        <w:tc>
          <w:tcPr>
            <w:tcW w:w="5540" w:type="dxa"/>
            <w:gridSpan w:val="3"/>
            <w:tcBorders>
              <w:tl2br w:val="nil"/>
              <w:tr2bl w:val="nil"/>
            </w:tcBorders>
            <w:noWrap/>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bl>
    <w:p>
      <w:pPr>
        <w:widowControl/>
        <w:shd w:val="clear" w:color="auto" w:fill="FFFFFF"/>
        <w:spacing w:line="480" w:lineRule="auto"/>
        <w:ind w:firstLine="639" w:firstLineChars="199"/>
        <w:rPr>
          <w:rFonts w:hint="eastAsia" w:ascii="黑体" w:hAnsi="黑体" w:eastAsia="黑体" w:cs="宋体"/>
          <w:b/>
          <w:color w:val="555555"/>
          <w:kern w:val="0"/>
          <w:sz w:val="32"/>
          <w:szCs w:val="32"/>
        </w:rPr>
      </w:pPr>
      <w:r>
        <w:rPr>
          <w:rFonts w:hint="eastAsia" w:ascii="黑体" w:hAnsi="黑体" w:eastAsia="黑体" w:cs="宋体"/>
          <w:b/>
          <w:color w:val="555555"/>
          <w:kern w:val="0"/>
          <w:sz w:val="32"/>
          <w:szCs w:val="32"/>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00"/>
        <w:gridCol w:w="2395"/>
        <w:gridCol w:w="774"/>
        <w:gridCol w:w="722"/>
        <w:gridCol w:w="722"/>
        <w:gridCol w:w="774"/>
        <w:gridCol w:w="918"/>
        <w:gridCol w:w="682"/>
        <w:gridCol w:w="6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1"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（本列数据的勾稽关系为：第一项加第二项之和，等于第三项加第四项之和）</w:t>
            </w:r>
          </w:p>
        </w:tc>
        <w:tc>
          <w:tcPr>
            <w:tcW w:w="526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77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自然人</w:t>
            </w:r>
          </w:p>
        </w:tc>
        <w:tc>
          <w:tcPr>
            <w:tcW w:w="381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法人或其他组织</w:t>
            </w:r>
          </w:p>
        </w:tc>
        <w:tc>
          <w:tcPr>
            <w:tcW w:w="66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77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商业企业</w:t>
            </w: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科研机构</w:t>
            </w:r>
          </w:p>
        </w:tc>
        <w:tc>
          <w:tcPr>
            <w:tcW w:w="77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社会公益组织</w:t>
            </w:r>
          </w:p>
        </w:tc>
        <w:tc>
          <w:tcPr>
            <w:tcW w:w="91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法律服务机构</w:t>
            </w:r>
          </w:p>
        </w:tc>
        <w:tc>
          <w:tcPr>
            <w:tcW w:w="68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w:t>
            </w:r>
          </w:p>
        </w:tc>
        <w:tc>
          <w:tcPr>
            <w:tcW w:w="66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一、本年新收政府信息公开申请数量</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二、上年结转政府信息公开申请数量</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三、本年度办理结果</w:t>
            </w:r>
          </w:p>
        </w:tc>
        <w:tc>
          <w:tcPr>
            <w:tcW w:w="319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ascii="楷体" w:hAnsi="楷体" w:eastAsia="楷体" w:cs="楷体"/>
                <w:kern w:val="0"/>
                <w:sz w:val="20"/>
                <w:szCs w:val="20"/>
                <w:lang w:bidi="ar"/>
              </w:rPr>
              <w:t>（一）予以公开</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319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（二）部分公开（区分处理的，只计这一情形，不计其他情形）</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（三）不予公开</w:t>
            </w: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1.属于国家秘密</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2.其他法律行政法规禁止公开</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3.危及“三安全一稳定”</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4.保护第三方合法权益</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5.属于三类内部事务信息</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6.属于四类过程性信息</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7.属于行政执法案卷</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8.属于行政查询事项</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（四）无法提供</w:t>
            </w: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1.本机关不掌握相关政府信息</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2.没有现成信息需要另行制作</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3.补正后申请内容仍不明确</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（五）不予处理</w:t>
            </w: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1.信访举报投诉类申请</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2.重复申请</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3.要求提供公开出版物</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4.无正当理由大量反复申请</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5.要求行政机关确认或重新出具已获取信息</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3"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restart"/>
            <w:tcBorders>
              <w:top w:val="nil"/>
              <w:left w:val="nil"/>
              <w:right w:val="single" w:color="auto" w:sz="8" w:space="0"/>
            </w:tcBorders>
            <w:noWrap w:val="0"/>
            <w:tcMar>
              <w:left w:w="108" w:type="dxa"/>
              <w:right w:w="108" w:type="dxa"/>
            </w:tcMar>
            <w:vAlign w:val="center"/>
          </w:tcPr>
          <w:p>
            <w:pPr>
              <w:rPr>
                <w:rFonts w:hint="eastAsia" w:ascii="宋体"/>
                <w:sz w:val="24"/>
              </w:rPr>
            </w:pPr>
            <w:r>
              <w:rPr>
                <w:rFonts w:hint="eastAsia" w:ascii="楷体" w:hAnsi="楷体" w:eastAsia="楷体" w:cs="楷体"/>
                <w:kern w:val="0"/>
                <w:sz w:val="20"/>
                <w:szCs w:val="20"/>
                <w:lang w:bidi="ar"/>
              </w:rPr>
              <w:t>（六）其他处理</w:t>
            </w: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ascii="楷体" w:hAnsi="楷体" w:eastAsia="楷体" w:cs="楷体"/>
                <w:kern w:val="0"/>
                <w:sz w:val="20"/>
                <w:szCs w:val="20"/>
                <w:lang w:bidi="ar"/>
              </w:rPr>
            </w:pPr>
            <w:r>
              <w:rPr>
                <w:rFonts w:hint="eastAsia" w:ascii="楷体" w:hAnsi="楷体" w:eastAsia="楷体" w:cs="楷体"/>
                <w:kern w:val="0"/>
                <w:sz w:val="20"/>
                <w:szCs w:val="20"/>
                <w:lang w:bidi="ar"/>
              </w:rPr>
              <w:t>1.申请人无正当理由逾期不补正、行政机关不再处理其政府信息公开申请</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kern w:val="0"/>
                <w:sz w:val="20"/>
                <w:szCs w:val="20"/>
                <w:lang w:bidi="ar"/>
              </w:rP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kern w:val="0"/>
                <w:sz w:val="20"/>
                <w:szCs w:val="20"/>
                <w:lang w:bidi="ar"/>
              </w:rP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eastAsiaTheme="minorEastAsia"/>
                <w:kern w:val="0"/>
                <w:sz w:val="20"/>
                <w:szCs w:val="20"/>
                <w:lang w:val="en-US" w:eastAsia="zh-CN" w:bidi="ar"/>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3"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left w:val="nil"/>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ascii="楷体" w:hAnsi="楷体" w:eastAsia="楷体" w:cs="楷体"/>
                <w:kern w:val="0"/>
                <w:sz w:val="20"/>
                <w:szCs w:val="20"/>
                <w:lang w:bidi="ar"/>
              </w:rPr>
            </w:pPr>
            <w:r>
              <w:rPr>
                <w:rFonts w:hint="eastAsia" w:ascii="楷体" w:hAnsi="楷体" w:eastAsia="楷体" w:cs="楷体"/>
                <w:kern w:val="0"/>
                <w:sz w:val="20"/>
                <w:szCs w:val="20"/>
                <w:lang w:bidi="ar"/>
              </w:rPr>
              <w:t>2.申请人逾期未按收费通知要求缴纳费用、行政机关不再处理其政府信息公开申请</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kern w:val="0"/>
                <w:sz w:val="20"/>
                <w:szCs w:val="20"/>
                <w:lang w:bidi="ar"/>
              </w:rP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kern w:val="0"/>
                <w:sz w:val="20"/>
                <w:szCs w:val="20"/>
                <w:lang w:bidi="ar"/>
              </w:rP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eastAsiaTheme="minorEastAsia"/>
                <w:kern w:val="0"/>
                <w:sz w:val="20"/>
                <w:szCs w:val="20"/>
                <w:lang w:val="en-US" w:eastAsia="zh-CN" w:bidi="ar"/>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00" w:type="dxa"/>
            <w:vMerge w:val="continue"/>
            <w:tcBorders>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3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ascii="楷体" w:hAnsi="楷体" w:eastAsia="楷体" w:cs="楷体"/>
                <w:kern w:val="0"/>
                <w:sz w:val="20"/>
                <w:szCs w:val="20"/>
                <w:lang w:bidi="ar"/>
              </w:rPr>
            </w:pPr>
            <w:r>
              <w:rPr>
                <w:rFonts w:hint="eastAsia" w:ascii="楷体" w:hAnsi="楷体" w:eastAsia="楷体" w:cs="楷体"/>
                <w:kern w:val="0"/>
                <w:sz w:val="20"/>
                <w:szCs w:val="20"/>
                <w:lang w:bidi="ar"/>
              </w:rPr>
              <w:t>3.其他</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kern w:val="0"/>
                <w:sz w:val="20"/>
                <w:szCs w:val="20"/>
                <w:lang w:bidi="ar"/>
              </w:rP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kern w:val="0"/>
                <w:sz w:val="20"/>
                <w:szCs w:val="20"/>
                <w:lang w:bidi="ar"/>
              </w:rP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cs="Calibri"/>
                <w:kern w:val="0"/>
                <w:sz w:val="20"/>
                <w:szCs w:val="20"/>
                <w:lang w:bidi="ar"/>
              </w:rP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cs="Calibri" w:eastAsiaTheme="minorEastAsia"/>
                <w:kern w:val="0"/>
                <w:sz w:val="20"/>
                <w:szCs w:val="20"/>
                <w:lang w:val="en-US" w:eastAsia="zh-CN" w:bidi="ar"/>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319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（七）总计</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四、结转下年度继续办理</w:t>
            </w: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2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77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91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8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6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eastAsiaTheme="minorEastAsia"/>
                <w:sz w:val="24"/>
                <w:lang w:val="en-US" w:eastAsia="zh-CN"/>
              </w:rPr>
            </w:pPr>
            <w:r>
              <w:rPr>
                <w:rFonts w:hint="eastAsia" w:ascii="宋体"/>
                <w:sz w:val="24"/>
                <w:lang w:val="en-US" w:eastAsia="zh-CN"/>
              </w:rPr>
              <w:t>0</w:t>
            </w:r>
          </w:p>
        </w:tc>
      </w:tr>
    </w:tbl>
    <w:p>
      <w:pPr>
        <w:widowControl/>
        <w:shd w:val="clear" w:color="auto" w:fill="FFFFFF"/>
        <w:spacing w:line="480" w:lineRule="auto"/>
        <w:ind w:firstLine="639" w:firstLineChars="199"/>
        <w:rPr>
          <w:rFonts w:hint="eastAsia" w:ascii="宋体" w:hAnsi="宋体" w:cs="宋体"/>
          <w:color w:val="333333"/>
        </w:rPr>
      </w:pPr>
      <w:r>
        <w:rPr>
          <w:rFonts w:hint="eastAsia" w:ascii="黑体" w:hAnsi="黑体" w:eastAsia="黑体" w:cs="宋体"/>
          <w:b/>
          <w:color w:val="555555"/>
          <w:kern w:val="0"/>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eastAsiaTheme="minorEastAsia"/>
                <w:sz w:val="24"/>
                <w:lang w:val="en-US" w:eastAsia="zh-CN"/>
              </w:rPr>
            </w:pPr>
            <w:r>
              <w:rPr>
                <w:rFonts w:hint="eastAsia" w:ascii="宋体"/>
                <w:sz w:val="24"/>
                <w:lang w:val="en-US" w:eastAsia="zh-CN"/>
              </w:rPr>
              <w:t>0</w:t>
            </w:r>
          </w:p>
        </w:tc>
      </w:tr>
    </w:tbl>
    <w:p>
      <w:pPr>
        <w:rPr>
          <w:rFonts w:ascii="黑体" w:hAnsi="黑体" w:eastAsia="黑体" w:cs="黑体"/>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我局政务信息工作开展以来，虽然取得了一定成效，但还存在一定不足，</w:t>
      </w:r>
      <w:r>
        <w:rPr>
          <w:rFonts w:hint="eastAsia" w:ascii="仿宋" w:hAnsi="仿宋" w:eastAsia="仿宋" w:cs="仿宋"/>
          <w:i w:val="0"/>
          <w:caps w:val="0"/>
          <w:color w:val="333333"/>
          <w:spacing w:val="0"/>
          <w:sz w:val="31"/>
          <w:szCs w:val="31"/>
          <w:shd w:val="clear" w:fill="FFFFFF"/>
        </w:rPr>
        <w:t>主要是公开的信息不全面，信息发布质量不高，公开事项的信息审核把关不严。</w:t>
      </w:r>
      <w:r>
        <w:rPr>
          <w:rFonts w:hint="eastAsia" w:ascii="仿宋" w:hAnsi="仿宋" w:eastAsia="仿宋" w:cs="仿宋"/>
          <w:sz w:val="32"/>
          <w:szCs w:val="32"/>
        </w:rPr>
        <w:t>下一步，我局将进一步加强领导，注重学习教育，加强协调配合，</w:t>
      </w:r>
      <w:r>
        <w:rPr>
          <w:rFonts w:hint="eastAsia" w:ascii="仿宋" w:hAnsi="仿宋" w:eastAsia="仿宋" w:cs="仿宋"/>
          <w:i w:val="0"/>
          <w:caps w:val="0"/>
          <w:color w:val="333333"/>
          <w:spacing w:val="0"/>
          <w:sz w:val="31"/>
          <w:szCs w:val="31"/>
          <w:shd w:val="clear" w:fill="FFFFFF"/>
        </w:rPr>
        <w:t>提高信息质量，加大公开信息内容，</w:t>
      </w:r>
      <w:r>
        <w:rPr>
          <w:rFonts w:hint="eastAsia" w:ascii="仿宋" w:hAnsi="仿宋" w:eastAsia="仿宋" w:cs="仿宋"/>
          <w:sz w:val="32"/>
          <w:szCs w:val="32"/>
        </w:rPr>
        <w:t>切实保证信息公布的全面性和及时性。进一步建立和完善各项工作制度和工作流程，努力建立一个系统、科学的工作操作规范和管理体系，保证各项工作的规范化运行。</w:t>
      </w:r>
      <w:r>
        <w:rPr>
          <w:rFonts w:hint="eastAsia" w:ascii="仿宋" w:hAnsi="仿宋" w:eastAsia="仿宋" w:cs="仿宋"/>
          <w:i w:val="0"/>
          <w:caps w:val="0"/>
          <w:color w:val="333333"/>
          <w:spacing w:val="0"/>
          <w:sz w:val="31"/>
          <w:szCs w:val="31"/>
          <w:shd w:val="clear" w:fill="FFFFFF"/>
        </w:rPr>
        <w:t>提高政府信息公开制度的整体效果，及时更新全局各项工作信息内容。</w:t>
      </w:r>
    </w:p>
    <w:p>
      <w:pPr>
        <w:numPr>
          <w:ilvl w:val="0"/>
          <w:numId w:val="0"/>
        </w:numPr>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92118"/>
    <w:multiLevelType w:val="singleLevel"/>
    <w:tmpl w:val="6AF921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1MDg4ZThhNmU3MDhmMzIzYWQ1NmM3Nzg0Nzg3MGIifQ=="/>
  </w:docVars>
  <w:rsids>
    <w:rsidRoot w:val="00E15CF5"/>
    <w:rsid w:val="00260C84"/>
    <w:rsid w:val="00573D32"/>
    <w:rsid w:val="007C678B"/>
    <w:rsid w:val="00C96587"/>
    <w:rsid w:val="00D16DDE"/>
    <w:rsid w:val="00E15CF5"/>
    <w:rsid w:val="03613A8E"/>
    <w:rsid w:val="0B11726D"/>
    <w:rsid w:val="0C104C1F"/>
    <w:rsid w:val="15507367"/>
    <w:rsid w:val="19055558"/>
    <w:rsid w:val="190F0D72"/>
    <w:rsid w:val="19512771"/>
    <w:rsid w:val="20CB4202"/>
    <w:rsid w:val="2E980EAB"/>
    <w:rsid w:val="2F8B7AE0"/>
    <w:rsid w:val="326D64A4"/>
    <w:rsid w:val="35696FCA"/>
    <w:rsid w:val="380562C5"/>
    <w:rsid w:val="40780634"/>
    <w:rsid w:val="481A6320"/>
    <w:rsid w:val="4F6B5131"/>
    <w:rsid w:val="58DB3C34"/>
    <w:rsid w:val="5BD94DDC"/>
    <w:rsid w:val="5FC33ADB"/>
    <w:rsid w:val="62D1417C"/>
    <w:rsid w:val="64564E3E"/>
    <w:rsid w:val="6AA809B9"/>
    <w:rsid w:val="6BD717C6"/>
    <w:rsid w:val="74AB114B"/>
    <w:rsid w:val="770B4F9F"/>
    <w:rsid w:val="7B25433D"/>
    <w:rsid w:val="7C90630C"/>
    <w:rsid w:val="7FE57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1321</Words>
  <Characters>1347</Characters>
  <Lines>9</Lines>
  <Paragraphs>2</Paragraphs>
  <TotalTime>15</TotalTime>
  <ScaleCrop>false</ScaleCrop>
  <LinksUpToDate>false</LinksUpToDate>
  <CharactersWithSpaces>1348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2021-01-12T07:40:00Z</cp:lastPrinted>
  <dcterms:modified xsi:type="dcterms:W3CDTF">2024-01-26T01:55:22Z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B5FF227DD3E44220A5DE526C7D8E0DC2</vt:lpwstr>
  </property>
</Properties>
</file>