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承德高新区</w:t>
      </w:r>
      <w:r>
        <w:rPr>
          <w:rFonts w:hint="eastAsia" w:ascii="宋体" w:hAnsi="宋体" w:eastAsia="宋体" w:cs="宋体"/>
          <w:b/>
          <w:bCs/>
          <w:sz w:val="44"/>
          <w:szCs w:val="44"/>
          <w:lang w:eastAsia="zh-CN"/>
        </w:rPr>
        <w:t>行政审批局</w:t>
      </w:r>
    </w:p>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3</w:t>
      </w:r>
      <w:r>
        <w:rPr>
          <w:rFonts w:hint="eastAsia" w:ascii="宋体" w:hAnsi="宋体" w:eastAsia="宋体" w:cs="宋体"/>
          <w:b/>
          <w:bCs/>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both"/>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根据《中华人民共和国政府信息公开条例》要求，结合承德高新区</w:t>
      </w:r>
      <w:r>
        <w:rPr>
          <w:rFonts w:hint="eastAsia" w:ascii="仿宋" w:hAnsi="仿宋" w:eastAsia="仿宋" w:cs="仿宋"/>
          <w:sz w:val="32"/>
          <w:szCs w:val="32"/>
          <w:lang w:eastAsia="zh-CN"/>
        </w:rPr>
        <w:t>行政审批局</w:t>
      </w:r>
      <w:r>
        <w:rPr>
          <w:rFonts w:hint="eastAsia" w:ascii="仿宋" w:hAnsi="仿宋" w:eastAsia="仿宋" w:cs="仿宋"/>
          <w:sz w:val="32"/>
          <w:szCs w:val="32"/>
        </w:rPr>
        <w:t>2023年度政府信息公开工作实际，编制本报告。本报告内容包括总体情况、主动公开、依申请公开、政府信息管理、政府</w:t>
      </w:r>
      <w:bookmarkStart w:id="0" w:name="_GoBack"/>
      <w:bookmarkEnd w:id="0"/>
      <w:r>
        <w:rPr>
          <w:rFonts w:hint="eastAsia" w:ascii="仿宋" w:hAnsi="仿宋" w:eastAsia="仿宋" w:cs="仿宋"/>
          <w:sz w:val="32"/>
          <w:szCs w:val="32"/>
        </w:rPr>
        <w:t>信息公开平台建设、监督保障等六个部分。本年度报告中所列数据统计期限从2023年1月1日到12月31日止。本年度报告电子版可从承德高新区门户网站（www.cdkfq.gov.cn）下载</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eastAsia="zh-CN"/>
        </w:rPr>
      </w:pPr>
      <w:r>
        <w:rPr>
          <w:rFonts w:hint="eastAsia" w:ascii="仿宋" w:hAnsi="仿宋" w:eastAsia="仿宋" w:cs="仿宋"/>
          <w:sz w:val="32"/>
          <w:szCs w:val="32"/>
        </w:rPr>
        <w:t>  </w:t>
      </w: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承德高新区</w:t>
      </w:r>
      <w:r>
        <w:rPr>
          <w:rFonts w:hint="eastAsia" w:ascii="仿宋" w:hAnsi="仿宋" w:eastAsia="仿宋" w:cs="仿宋"/>
          <w:sz w:val="32"/>
          <w:szCs w:val="32"/>
          <w:lang w:eastAsia="zh-CN"/>
        </w:rPr>
        <w:t>行政审批局</w:t>
      </w:r>
      <w:r>
        <w:rPr>
          <w:rFonts w:hint="eastAsia" w:ascii="仿宋" w:hAnsi="仿宋" w:eastAsia="仿宋" w:cs="仿宋"/>
          <w:sz w:val="32"/>
          <w:szCs w:val="32"/>
        </w:rPr>
        <w:t>认真贯彻落实高新区管委会关于政府信息公开工作的部署和要求，围绕促进行政权力公开透明运行，自始至终把推行政府信息公开工作作为落实党风廉政建设责任制、转变机关作风、提高行政效能、改善投资环境的一项重要工作来抓，切实加强对政务公开工作的组织领导，进一步细化行政审批工作信息公开事项的内容，加强制度保障。实行单位主要负责人审查制度，严格审查公开内容，杜绝实施过程中的随意行为，提高信息公开制度的整体效果。政务服务科联合各科室积极开展政务公开的日常工作，为推动我局政务公开工作深入开展提供了坚强的组织保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楷体" w:hAnsi="楷体" w:eastAsia="楷体" w:cs="楷体"/>
          <w:b/>
          <w:bCs/>
          <w:sz w:val="32"/>
          <w:szCs w:val="32"/>
          <w:lang w:eastAsia="zh-CN"/>
        </w:rPr>
        <w:t>（一）主动公开方面。</w:t>
      </w:r>
      <w:r>
        <w:rPr>
          <w:rFonts w:ascii="仿宋" w:hAnsi="仿宋" w:eastAsia="仿宋" w:cs="仿宋"/>
          <w:color w:val="000000"/>
          <w:kern w:val="0"/>
          <w:sz w:val="31"/>
          <w:szCs w:val="31"/>
          <w:lang w:val="en-US" w:eastAsia="zh-CN" w:bidi="ar"/>
        </w:rPr>
        <w:t>202</w:t>
      </w:r>
      <w:r>
        <w:rPr>
          <w:rFonts w:hint="eastAsia" w:ascii="仿宋" w:hAnsi="仿宋" w:eastAsia="仿宋" w:cs="仿宋"/>
          <w:color w:val="000000"/>
          <w:kern w:val="0"/>
          <w:sz w:val="31"/>
          <w:szCs w:val="31"/>
          <w:lang w:val="en-US" w:eastAsia="zh-CN" w:bidi="ar"/>
        </w:rPr>
        <w:t>3</w:t>
      </w:r>
      <w:r>
        <w:rPr>
          <w:rFonts w:ascii="仿宋" w:hAnsi="仿宋" w:eastAsia="仿宋" w:cs="仿宋"/>
          <w:color w:val="000000"/>
          <w:kern w:val="0"/>
          <w:sz w:val="31"/>
          <w:szCs w:val="31"/>
          <w:lang w:val="en-US" w:eastAsia="zh-CN" w:bidi="ar"/>
        </w:rPr>
        <w:t>年，高新区</w:t>
      </w:r>
      <w:r>
        <w:rPr>
          <w:rFonts w:hint="eastAsia" w:ascii="仿宋" w:hAnsi="仿宋" w:eastAsia="仿宋" w:cs="仿宋"/>
          <w:color w:val="000000"/>
          <w:kern w:val="0"/>
          <w:sz w:val="31"/>
          <w:szCs w:val="31"/>
          <w:lang w:val="en-US" w:eastAsia="zh-CN" w:bidi="ar"/>
        </w:rPr>
        <w:t>行政审批局</w:t>
      </w:r>
      <w:r>
        <w:rPr>
          <w:rFonts w:ascii="仿宋" w:hAnsi="仿宋" w:eastAsia="仿宋" w:cs="仿宋"/>
          <w:color w:val="000000"/>
          <w:kern w:val="0"/>
          <w:sz w:val="31"/>
          <w:szCs w:val="31"/>
          <w:lang w:val="en-US" w:eastAsia="zh-CN" w:bidi="ar"/>
        </w:rPr>
        <w:t>在政务公开模块共发布信息</w:t>
      </w:r>
      <w:r>
        <w:rPr>
          <w:rFonts w:hint="eastAsia" w:ascii="仿宋" w:hAnsi="仿宋" w:eastAsia="仿宋" w:cs="仿宋"/>
          <w:color w:val="000000"/>
          <w:kern w:val="0"/>
          <w:sz w:val="31"/>
          <w:szCs w:val="31"/>
          <w:lang w:val="en-US" w:eastAsia="zh-CN" w:bidi="ar"/>
        </w:rPr>
        <w:t>43条。其中包括各类事项清单以及部门预算公开等。</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楷体" w:hAnsi="楷体" w:eastAsia="楷体" w:cs="楷体"/>
          <w:b/>
          <w:bCs/>
          <w:kern w:val="2"/>
          <w:sz w:val="32"/>
          <w:szCs w:val="32"/>
          <w:lang w:val="en-US" w:eastAsia="zh-CN" w:bidi="ar-SA"/>
        </w:rPr>
        <w:t>（二）依申请公开方面。</w:t>
      </w:r>
      <w:r>
        <w:rPr>
          <w:rFonts w:hint="eastAsia" w:ascii="仿宋" w:hAnsi="仿宋" w:eastAsia="仿宋" w:cs="仿宋"/>
          <w:sz w:val="32"/>
          <w:szCs w:val="32"/>
          <w:lang w:val="en-US" w:eastAsia="zh-CN"/>
        </w:rPr>
        <w:t>高新区行政审批局依照《中华人民共和国政府信息公开条例》要求，在2023年的工作中，共收到相关主体依申请公开事项0件。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（三）政府信息管理方面。</w:t>
      </w:r>
      <w:r>
        <w:rPr>
          <w:rFonts w:hint="eastAsia" w:ascii="仿宋" w:hAnsi="仿宋" w:eastAsia="仿宋" w:cs="仿宋"/>
          <w:sz w:val="32"/>
          <w:szCs w:val="32"/>
        </w:rPr>
        <w:t>为了确保政务信息工作真正便于群众知情、方便群众办事，有利于群众监督，根据行政审批工作实际，按照“依法公开、真实公正、突出重点、注重实效、有利监督”的原则，进一步规范政务公开的主要内容，重点公开了各类行政许可公示、登记注册公示和核准备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kern w:val="2"/>
          <w:sz w:val="32"/>
          <w:szCs w:val="32"/>
          <w:lang w:val="en-US" w:eastAsia="zh-CN" w:bidi="ar-SA"/>
        </w:rPr>
      </w:pPr>
      <w:r>
        <w:rPr>
          <w:rFonts w:hint="eastAsia" w:ascii="楷体" w:hAnsi="楷体" w:eastAsia="楷体" w:cs="楷体"/>
          <w:b/>
          <w:bCs/>
          <w:kern w:val="2"/>
          <w:sz w:val="32"/>
          <w:szCs w:val="32"/>
          <w:lang w:val="en-US" w:eastAsia="zh-CN" w:bidi="ar-SA"/>
        </w:rPr>
        <w:t>（四）政府信息公开平台建设方面。</w:t>
      </w:r>
      <w:r>
        <w:rPr>
          <w:rFonts w:hint="eastAsia" w:ascii="仿宋" w:hAnsi="仿宋" w:eastAsia="仿宋" w:cs="仿宋"/>
          <w:sz w:val="32"/>
          <w:szCs w:val="32"/>
        </w:rPr>
        <w:t>把政务公开平台列为公开政府信息的重要途径</w:t>
      </w:r>
      <w:r>
        <w:rPr>
          <w:rFonts w:hint="eastAsia" w:ascii="仿宋" w:hAnsi="仿宋" w:eastAsia="仿宋" w:cs="仿宋"/>
          <w:sz w:val="32"/>
          <w:szCs w:val="32"/>
          <w:lang w:val="en-US" w:eastAsia="zh-CN"/>
        </w:rPr>
        <w:t>,为群众提供最直接、最便捷的服务。</w:t>
      </w:r>
    </w:p>
    <w:p>
      <w:pPr>
        <w:keepNext w:val="0"/>
        <w:keepLines w:val="0"/>
        <w:pageBreakBefore w:val="0"/>
        <w:kinsoku/>
        <w:wordWrap/>
        <w:overflowPunct/>
        <w:topLinePunct w:val="0"/>
        <w:autoSpaceDE/>
        <w:autoSpaceDN/>
        <w:bidi w:val="0"/>
        <w:adjustRightInd/>
        <w:snapToGrid/>
        <w:spacing w:line="560" w:lineRule="exact"/>
        <w:rPr>
          <w:rFonts w:hint="eastAsia"/>
        </w:rPr>
      </w:pPr>
      <w:r>
        <w:rPr>
          <w:rFonts w:hint="eastAsia" w:ascii="仿宋" w:hAnsi="仿宋" w:eastAsia="仿宋" w:cs="仿宋"/>
          <w:sz w:val="32"/>
          <w:szCs w:val="32"/>
        </w:rPr>
        <w:t> </w:t>
      </w:r>
      <w:r>
        <w:rPr>
          <w:rFonts w:hint="eastAsia" w:ascii="黑体" w:hAnsi="黑体" w:eastAsia="黑体" w:cs="黑体"/>
          <w:sz w:val="32"/>
          <w:szCs w:val="32"/>
        </w:rPr>
        <w:t> </w:t>
      </w:r>
      <w:r>
        <w:rPr>
          <w:rFonts w:hint="eastAsia" w:ascii="楷体" w:hAnsi="楷体" w:eastAsia="楷体" w:cs="楷体"/>
          <w:b/>
          <w:bCs/>
          <w:kern w:val="2"/>
          <w:sz w:val="32"/>
          <w:szCs w:val="32"/>
          <w:lang w:val="en-US" w:eastAsia="zh-CN" w:bidi="ar-SA"/>
        </w:rPr>
        <w:t>（五）监督保障方面。</w:t>
      </w:r>
      <w:r>
        <w:rPr>
          <w:rFonts w:hint="eastAsia" w:ascii="仿宋" w:hAnsi="仿宋" w:eastAsia="仿宋" w:cs="仿宋"/>
          <w:sz w:val="32"/>
          <w:szCs w:val="32"/>
          <w:lang w:eastAsia="zh-CN"/>
        </w:rPr>
        <w:t>注</w:t>
      </w:r>
      <w:r>
        <w:rPr>
          <w:rFonts w:hint="eastAsia" w:ascii="仿宋" w:hAnsi="仿宋" w:eastAsia="仿宋" w:cs="仿宋"/>
          <w:sz w:val="32"/>
          <w:szCs w:val="32"/>
        </w:rPr>
        <w:t>重公开的时效性，及时更新完善政务公开内容，增强依法行政审批工作的透明度，增强信息公开工作人员力量，保障各渠道、平台信息更新发布的时效性。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ascii="黑体" w:hAnsi="黑体" w:eastAsia="黑体"/>
          <w:bCs/>
          <w:sz w:val="32"/>
          <w:szCs w:val="32"/>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auto"/>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auto"/>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eastAsia="仿宋_GB2312"/>
                <w:lang w:val="en-US" w:eastAsia="zh-CN"/>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ind w:firstLine="200" w:firstLineChars="100"/>
              <w:jc w:val="center"/>
              <w:textAlignment w:val="auto"/>
              <w:rPr>
                <w:rFonts w:hint="default" w:ascii="宋体" w:eastAsia="仿宋_GB2312"/>
                <w:sz w:val="24"/>
                <w:szCs w:val="24"/>
                <w:lang w:val="en-US" w:eastAsia="zh-CN"/>
              </w:rPr>
            </w:pPr>
            <w:r>
              <w:rPr>
                <w:rFonts w:hint="eastAsia" w:ascii="宋体" w:hAnsi="宋体" w:cs="宋体"/>
                <w:color w:val="000000"/>
                <w:kern w:val="0"/>
                <w:sz w:val="20"/>
                <w:szCs w:val="20"/>
                <w:lang w:val="en-US" w:eastAsia="zh-CN" w:bidi="ar"/>
              </w:rPr>
              <w:t>0</w:t>
            </w:r>
          </w:p>
        </w:tc>
      </w:tr>
    </w:tbl>
    <w:p>
      <w:pPr>
        <w:keepNext w:val="0"/>
        <w:keepLines w:val="0"/>
        <w:pageBreakBefore w:val="0"/>
        <w:kinsoku/>
        <w:wordWrap/>
        <w:overflowPunct/>
        <w:topLinePunct w:val="0"/>
        <w:autoSpaceDE/>
        <w:autoSpaceDN/>
        <w:bidi w:val="0"/>
        <w:spacing w:line="560" w:lineRule="exact"/>
        <w:textAlignment w:val="auto"/>
        <w:rPr>
          <w:rFonts w:hint="eastAsia" w:ascii="宋体" w:hAnsi="宋体" w:cs="宋体"/>
          <w:b/>
          <w:bCs/>
          <w:color w:val="000000"/>
          <w:kern w:val="0"/>
          <w:sz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7"/>
        <w:gridCol w:w="942"/>
        <w:gridCol w:w="3216"/>
        <w:gridCol w:w="688"/>
        <w:gridCol w:w="689"/>
        <w:gridCol w:w="689"/>
        <w:gridCol w:w="689"/>
        <w:gridCol w:w="689"/>
        <w:gridCol w:w="689"/>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自然人</w:t>
            </w:r>
          </w:p>
        </w:tc>
        <w:tc>
          <w:tcPr>
            <w:tcW w:w="3445"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690"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企业</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社会公益组织</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其他</w:t>
            </w:r>
          </w:p>
        </w:tc>
        <w:tc>
          <w:tcPr>
            <w:tcW w:w="690"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三、本年度办理结果</w:t>
            </w:r>
          </w:p>
        </w:tc>
        <w:tc>
          <w:tcPr>
            <w:tcW w:w="415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415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w:t>
            </w:r>
            <w:r>
              <w:rPr>
                <w:rFonts w:hint="default"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（三）不予公开</w:t>
            </w: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9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（四）无法提供</w:t>
            </w: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（五）不予处理</w:t>
            </w: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both"/>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321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both"/>
              <w:textAlignment w:val="auto"/>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both"/>
              <w:textAlignment w:val="auto"/>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lang w:val="en-US"/>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415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Calibri" w:hAnsi="Calibri" w:cs="Calibri"/>
                <w:color w:val="auto"/>
                <w:kern w:val="0"/>
                <w:sz w:val="20"/>
                <w:szCs w:val="20"/>
                <w:lang w:val="en-US" w:eastAsia="zh-CN" w:bidi="ar"/>
              </w:rPr>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default" w:ascii="Calibri" w:hAnsi="Calibri"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宋体"/>
                <w:sz w:val="24"/>
                <w:szCs w:val="24"/>
              </w:rPr>
            </w:pPr>
            <w:r>
              <w:rPr>
                <w:rFonts w:hint="eastAsia" w:ascii="Calibri" w:hAnsi="Calibri" w:cs="Calibri"/>
                <w:color w:val="auto"/>
                <w:kern w:val="0"/>
                <w:sz w:val="20"/>
                <w:szCs w:val="20"/>
                <w:lang w:val="en-US" w:eastAsia="zh-CN" w:bidi="ar"/>
              </w:rPr>
              <w:t>0</w:t>
            </w:r>
          </w:p>
        </w:tc>
      </w:tr>
    </w:tbl>
    <w:p>
      <w:pPr>
        <w:pStyle w:val="3"/>
        <w:ind w:left="0" w:leftChars="0" w:firstLine="0" w:firstLineChars="0"/>
        <w:rPr>
          <w:rFonts w:hint="eastAsia"/>
          <w:lang w:eastAsia="zh-CN"/>
        </w:rPr>
      </w:pPr>
    </w:p>
    <w:p>
      <w:pPr>
        <w:rPr>
          <w:rFonts w:hint="eastAsia"/>
          <w:lang w:eastAsia="zh-CN"/>
        </w:rPr>
      </w:pP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pPr>
            <w:r>
              <w:rPr>
                <w:rFonts w:hint="eastAsia" w:ascii="Calibri" w:hAnsi="Calibri" w:cs="Calibri"/>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jc w:val="center"/>
              <w:textAlignment w:val="auto"/>
              <w:rPr>
                <w:rFonts w:hint="eastAsia" w:ascii="宋体"/>
                <w:sz w:val="24"/>
                <w:szCs w:val="24"/>
              </w:rPr>
            </w:pPr>
            <w:r>
              <w:rPr>
                <w:rFonts w:hint="eastAsia" w:ascii="Calibri" w:hAnsi="Calibri" w:cs="Calibri"/>
                <w:color w:val="auto"/>
                <w:kern w:val="0"/>
                <w:sz w:val="20"/>
                <w:szCs w:val="20"/>
                <w:lang w:val="en-US" w:eastAsia="zh-CN" w:bidi="ar"/>
              </w:rPr>
              <w:t>0</w:t>
            </w:r>
          </w:p>
        </w:tc>
      </w:tr>
    </w:tbl>
    <w:p>
      <w:pPr>
        <w:keepNext w:val="0"/>
        <w:keepLines w:val="0"/>
        <w:pageBreakBefore w:val="0"/>
        <w:widowControl/>
        <w:numPr>
          <w:ilvl w:val="0"/>
          <w:numId w:val="0"/>
        </w:numPr>
        <w:kinsoku/>
        <w:wordWrap/>
        <w:overflowPunct/>
        <w:topLinePunct w:val="0"/>
        <w:autoSpaceDE/>
        <w:autoSpaceDN/>
        <w:bidi w:val="0"/>
        <w:spacing w:line="560" w:lineRule="exact"/>
        <w:textAlignment w:val="auto"/>
        <w:rPr>
          <w:rFonts w:hint="eastAsia" w:ascii="黑体" w:hAnsi="黑体" w:eastAsia="黑体" w:cs="Times New Roman"/>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存在</w:t>
      </w:r>
      <w:r>
        <w:rPr>
          <w:rFonts w:hint="eastAsia" w:ascii="黑体" w:hAnsi="黑体" w:eastAsia="黑体" w:cs="黑体"/>
          <w:sz w:val="32"/>
          <w:szCs w:val="32"/>
          <w:lang w:eastAsia="zh-CN"/>
        </w:rPr>
        <w:t>的主要</w:t>
      </w:r>
      <w:r>
        <w:rPr>
          <w:rFonts w:hint="eastAsia" w:ascii="黑体" w:hAnsi="黑体" w:eastAsia="黑体" w:cs="黑体"/>
          <w:sz w:val="32"/>
          <w:szCs w:val="32"/>
        </w:rPr>
        <w:t>问题及下一步</w:t>
      </w:r>
      <w:r>
        <w:rPr>
          <w:rFonts w:hint="eastAsia" w:ascii="黑体" w:hAnsi="黑体" w:eastAsia="黑体" w:cs="黑体"/>
          <w:sz w:val="32"/>
          <w:szCs w:val="32"/>
          <w:lang w:eastAsia="zh-CN"/>
        </w:rPr>
        <w:t>改进情况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高新区行政审批局</w:t>
      </w:r>
      <w:r>
        <w:rPr>
          <w:rFonts w:hint="eastAsia" w:ascii="仿宋" w:hAnsi="仿宋" w:eastAsia="仿宋" w:cs="仿宋"/>
          <w:sz w:val="32"/>
          <w:szCs w:val="32"/>
        </w:rPr>
        <w:t>将依托</w:t>
      </w:r>
      <w:r>
        <w:rPr>
          <w:rFonts w:hint="eastAsia" w:ascii="仿宋" w:hAnsi="仿宋" w:eastAsia="仿宋" w:cs="仿宋"/>
          <w:sz w:val="32"/>
          <w:szCs w:val="32"/>
          <w:lang w:eastAsia="zh-CN"/>
        </w:rPr>
        <w:t>综合部</w:t>
      </w:r>
      <w:r>
        <w:rPr>
          <w:rFonts w:hint="eastAsia" w:ascii="仿宋" w:hAnsi="仿宋" w:eastAsia="仿宋" w:cs="仿宋"/>
          <w:sz w:val="32"/>
          <w:szCs w:val="32"/>
        </w:rPr>
        <w:t>指导继续完善政务信息公开工作建设。科学合理设置公开事项，努力提高信息发布的权威性、丰富性、时效性，积极发挥行政审批局政务信息公开在审批工作和服务公众方面的作用，进一步扩大行政审批工作的宣传力度和影响范围。</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、其他报告事项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仿宋" w:hAnsi="仿宋" w:eastAsia="仿宋" w:cs="仿宋"/>
          <w:kern w:val="2"/>
          <w:sz w:val="32"/>
          <w:szCs w:val="32"/>
          <w:lang w:val="en-US" w:eastAsia="zh-CN" w:bidi="ar-SA"/>
        </w:rPr>
      </w:pP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 xml:space="preserve"> 按照《国务院办公厅关于印发&lt;政府信息公开信息处理费管理办法&gt;的通知》(国办函〔2020〕109号)和《河北省财政厅河北省发展和改革委员会关于政府信息公开信息处理费管理有关事项的通知》（冀财非税〔2021〕21号）规定，本年度未产生信息处理费。</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FF"/>
    <w:rsid w:val="000A4063"/>
    <w:rsid w:val="00172ABB"/>
    <w:rsid w:val="001C2A77"/>
    <w:rsid w:val="001D5978"/>
    <w:rsid w:val="00217C1D"/>
    <w:rsid w:val="003429CA"/>
    <w:rsid w:val="00354CBE"/>
    <w:rsid w:val="0036110B"/>
    <w:rsid w:val="003A7C08"/>
    <w:rsid w:val="003C5584"/>
    <w:rsid w:val="003D2024"/>
    <w:rsid w:val="005045E1"/>
    <w:rsid w:val="005769D3"/>
    <w:rsid w:val="00645F0A"/>
    <w:rsid w:val="00710353"/>
    <w:rsid w:val="007C7FB6"/>
    <w:rsid w:val="008D12C6"/>
    <w:rsid w:val="009430D3"/>
    <w:rsid w:val="00A04BFF"/>
    <w:rsid w:val="00A7665A"/>
    <w:rsid w:val="00AE1A55"/>
    <w:rsid w:val="00AE5A09"/>
    <w:rsid w:val="00B67C58"/>
    <w:rsid w:val="00B932A9"/>
    <w:rsid w:val="00CD7A9B"/>
    <w:rsid w:val="00DF6AFB"/>
    <w:rsid w:val="00E55445"/>
    <w:rsid w:val="00E60649"/>
    <w:rsid w:val="00ED2169"/>
    <w:rsid w:val="026571AF"/>
    <w:rsid w:val="09560070"/>
    <w:rsid w:val="0DC91B66"/>
    <w:rsid w:val="0F2D1E14"/>
    <w:rsid w:val="10A43C76"/>
    <w:rsid w:val="11DF0B15"/>
    <w:rsid w:val="14ED7ECE"/>
    <w:rsid w:val="152D0997"/>
    <w:rsid w:val="16DD2ED1"/>
    <w:rsid w:val="17A11AC4"/>
    <w:rsid w:val="19334278"/>
    <w:rsid w:val="1A620136"/>
    <w:rsid w:val="1A6251BF"/>
    <w:rsid w:val="22BE591E"/>
    <w:rsid w:val="24884B89"/>
    <w:rsid w:val="253F2D4A"/>
    <w:rsid w:val="25664E9E"/>
    <w:rsid w:val="28EF285F"/>
    <w:rsid w:val="299437D8"/>
    <w:rsid w:val="2A881653"/>
    <w:rsid w:val="2B7F3A90"/>
    <w:rsid w:val="2D1C4434"/>
    <w:rsid w:val="2DB614BA"/>
    <w:rsid w:val="2DD211F6"/>
    <w:rsid w:val="2E605C06"/>
    <w:rsid w:val="2FA54782"/>
    <w:rsid w:val="32AA0A70"/>
    <w:rsid w:val="34577076"/>
    <w:rsid w:val="35DF63B0"/>
    <w:rsid w:val="3B940AF5"/>
    <w:rsid w:val="3CF75831"/>
    <w:rsid w:val="3D87745C"/>
    <w:rsid w:val="3E955E38"/>
    <w:rsid w:val="450B4F98"/>
    <w:rsid w:val="475E59B0"/>
    <w:rsid w:val="4E28160E"/>
    <w:rsid w:val="4E340AF5"/>
    <w:rsid w:val="4E947ABB"/>
    <w:rsid w:val="501736DD"/>
    <w:rsid w:val="517B4171"/>
    <w:rsid w:val="520B7988"/>
    <w:rsid w:val="53C753CB"/>
    <w:rsid w:val="54C86BD1"/>
    <w:rsid w:val="5674632F"/>
    <w:rsid w:val="581A429B"/>
    <w:rsid w:val="5BB03F7F"/>
    <w:rsid w:val="5ECB3DA4"/>
    <w:rsid w:val="5F091C93"/>
    <w:rsid w:val="5F7E4163"/>
    <w:rsid w:val="64AE0340"/>
    <w:rsid w:val="67167327"/>
    <w:rsid w:val="69972701"/>
    <w:rsid w:val="6CE41294"/>
    <w:rsid w:val="6ED6423E"/>
    <w:rsid w:val="744A00A7"/>
    <w:rsid w:val="7A22414B"/>
    <w:rsid w:val="7CBC68C9"/>
    <w:rsid w:val="7D100046"/>
    <w:rsid w:val="7EEA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7"/>
    <w:basedOn w:val="1"/>
    <w:next w:val="1"/>
    <w:unhideWhenUsed/>
    <w:qFormat/>
    <w:uiPriority w:val="99"/>
    <w:pPr>
      <w:ind w:left="25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Calibri" w:hAnsi="Calibri" w:eastAsia="宋体" w:cs="Times New Roman"/>
      <w:kern w:val="2"/>
      <w:sz w:val="18"/>
      <w:szCs w:val="18"/>
    </w:rPr>
  </w:style>
  <w:style w:type="character" w:customStyle="1" w:styleId="10">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1884</Characters>
  <Lines>15</Lines>
  <Paragraphs>4</Paragraphs>
  <TotalTime>2</TotalTime>
  <ScaleCrop>false</ScaleCrop>
  <LinksUpToDate>false</LinksUpToDate>
  <CharactersWithSpaces>2210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WPS_1679534313</cp:lastModifiedBy>
  <cp:lastPrinted>2024-01-29T08:26:00Z</cp:lastPrinted>
  <dcterms:modified xsi:type="dcterms:W3CDTF">2024-01-29T08:56:54Z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48F041E658F344B0895E7A3195B532F5</vt:lpwstr>
  </property>
</Properties>
</file>